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280" w:firstLineChars="1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附件1：采购内容</w:t>
      </w:r>
    </w:p>
    <w:p>
      <w:pPr>
        <w:pStyle w:val="2"/>
        <w:numPr>
          <w:ilvl w:val="0"/>
          <w:numId w:val="1"/>
        </w:numPr>
        <w:ind w:left="0" w:leftChars="0" w:firstLine="240" w:firstLineChars="100"/>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服务范围：</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5250"/>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6" w:type="pct"/>
            <w:shd w:val="clear" w:color="auto" w:fill="E7E6E6" w:themeFill="background2"/>
            <w:vAlign w:val="center"/>
          </w:tcPr>
          <w:p>
            <w:pPr>
              <w:widowControl/>
              <w:spacing w:line="24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序号</w:t>
            </w:r>
          </w:p>
        </w:tc>
        <w:tc>
          <w:tcPr>
            <w:tcW w:w="2828" w:type="pct"/>
            <w:shd w:val="clear" w:color="auto" w:fill="E7E6E6" w:themeFill="background2"/>
            <w:vAlign w:val="center"/>
          </w:tcPr>
          <w:p>
            <w:pPr>
              <w:widowControl/>
              <w:spacing w:line="24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系统名称</w:t>
            </w:r>
          </w:p>
        </w:tc>
        <w:tc>
          <w:tcPr>
            <w:tcW w:w="1734" w:type="pct"/>
            <w:shd w:val="clear" w:color="auto" w:fill="E7E6E6" w:themeFill="background2"/>
            <w:vAlign w:val="center"/>
          </w:tcPr>
          <w:p>
            <w:pPr>
              <w:widowControl/>
              <w:spacing w:line="24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安全保护等级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6" w:type="pct"/>
            <w:shd w:val="clear" w:color="auto" w:fill="auto"/>
            <w:vAlign w:val="center"/>
          </w:tcPr>
          <w:p>
            <w:pPr>
              <w:widowControl/>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828" w:type="pct"/>
            <w:shd w:val="clear" w:color="auto" w:fill="auto"/>
            <w:vAlign w:val="center"/>
          </w:tcPr>
          <w:p>
            <w:pPr>
              <w:widowControl/>
              <w:spacing w:line="240" w:lineRule="auto"/>
              <w:jc w:val="center"/>
              <w:rPr>
                <w:rFonts w:hint="eastAsia" w:ascii="仿宋_GB2312" w:hAnsi="仿宋_GB2312" w:eastAsia="仿宋_GB2312" w:cs="仿宋_GB2312"/>
                <w:color w:val="333333"/>
                <w:sz w:val="24"/>
                <w:szCs w:val="24"/>
                <w:shd w:val="clear" w:color="auto" w:fill="FFFFFF"/>
                <w:lang w:val="en-US"/>
              </w:rPr>
            </w:pPr>
            <w:r>
              <w:rPr>
                <w:rFonts w:hint="eastAsia" w:ascii="仿宋_GB2312" w:hAnsi="仿宋_GB2312" w:eastAsia="仿宋_GB2312" w:cs="仿宋_GB2312"/>
                <w:color w:val="333333"/>
                <w:sz w:val="24"/>
                <w:szCs w:val="24"/>
                <w:shd w:val="clear" w:color="auto" w:fill="FFFFFF"/>
                <w:lang w:eastAsia="zh-CN"/>
              </w:rPr>
              <w:t>海南省平山医院 HIS 信息管理系统</w:t>
            </w:r>
          </w:p>
        </w:tc>
        <w:tc>
          <w:tcPr>
            <w:tcW w:w="1734" w:type="pct"/>
            <w:shd w:val="clear" w:color="auto" w:fill="auto"/>
            <w:vAlign w:val="center"/>
          </w:tcPr>
          <w:p>
            <w:pPr>
              <w:widowControl/>
              <w:spacing w:line="240" w:lineRule="auto"/>
              <w:jc w:val="center"/>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lang w:val="en-US" w:eastAsia="zh-CN"/>
              </w:rPr>
              <w:t>二级（S2A2G2）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6" w:type="pct"/>
            <w:shd w:val="clear" w:color="auto" w:fill="auto"/>
            <w:vAlign w:val="center"/>
          </w:tcPr>
          <w:p>
            <w:pPr>
              <w:widowControl/>
              <w:spacing w:line="240" w:lineRule="auto"/>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2828" w:type="pct"/>
            <w:shd w:val="clear" w:color="auto" w:fill="auto"/>
            <w:vAlign w:val="center"/>
          </w:tcPr>
          <w:p>
            <w:pPr>
              <w:widowControl/>
              <w:spacing w:line="240" w:lineRule="auto"/>
              <w:jc w:val="center"/>
              <w:rPr>
                <w:rFonts w:hint="eastAsia" w:ascii="仿宋_GB2312" w:hAnsi="仿宋_GB2312" w:eastAsia="仿宋_GB2312" w:cs="仿宋_GB2312"/>
                <w:color w:val="333333"/>
                <w:sz w:val="24"/>
                <w:szCs w:val="24"/>
                <w:shd w:val="clear" w:color="auto" w:fill="FFFFFF"/>
                <w:lang w:val="en-US"/>
              </w:rPr>
            </w:pPr>
            <w:r>
              <w:rPr>
                <w:rFonts w:hint="eastAsia" w:ascii="仿宋_GB2312" w:hAnsi="仿宋_GB2312" w:eastAsia="仿宋_GB2312" w:cs="仿宋_GB2312"/>
                <w:color w:val="333333"/>
                <w:sz w:val="24"/>
                <w:szCs w:val="24"/>
                <w:shd w:val="clear" w:color="auto" w:fill="FFFFFF"/>
                <w:lang w:eastAsia="zh-CN"/>
              </w:rPr>
              <w:t>海南省平山医院官方网站</w:t>
            </w:r>
          </w:p>
        </w:tc>
        <w:tc>
          <w:tcPr>
            <w:tcW w:w="1734" w:type="pct"/>
            <w:shd w:val="clear" w:color="auto" w:fill="auto"/>
            <w:vAlign w:val="center"/>
          </w:tcPr>
          <w:p>
            <w:pPr>
              <w:widowControl/>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color w:val="333333"/>
                <w:sz w:val="24"/>
                <w:szCs w:val="24"/>
                <w:shd w:val="clear" w:color="auto" w:fill="FFFFFF"/>
                <w:lang w:val="en-US" w:eastAsia="zh-CN"/>
              </w:rPr>
              <w:t>二级（S2A2G2）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436" w:type="pct"/>
            <w:shd w:val="clear" w:color="auto" w:fill="auto"/>
            <w:vAlign w:val="center"/>
          </w:tcPr>
          <w:p>
            <w:pPr>
              <w:widowControl/>
              <w:spacing w:line="240" w:lineRule="auto"/>
              <w:jc w:val="center"/>
              <w:rPr>
                <w:rFonts w:hint="eastAsia"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2828" w:type="pct"/>
            <w:shd w:val="clear" w:color="auto" w:fill="auto"/>
            <w:vAlign w:val="center"/>
          </w:tcPr>
          <w:p>
            <w:pPr>
              <w:widowControl/>
              <w:spacing w:line="240" w:lineRule="auto"/>
              <w:jc w:val="center"/>
              <w:rPr>
                <w:rFonts w:hint="eastAsia" w:ascii="仿宋_GB2312" w:hAnsi="仿宋_GB2312" w:eastAsia="仿宋_GB2312" w:cs="仿宋_GB2312"/>
                <w:color w:val="333333"/>
                <w:sz w:val="24"/>
                <w:szCs w:val="24"/>
                <w:shd w:val="clear" w:color="auto" w:fill="FFFFFF"/>
                <w:lang w:val="en-US" w:eastAsia="zh-CN"/>
              </w:rPr>
            </w:pPr>
            <w:r>
              <w:rPr>
                <w:rFonts w:hint="eastAsia" w:ascii="仿宋_GB2312" w:hAnsi="仿宋_GB2312" w:eastAsia="仿宋_GB2312" w:cs="仿宋_GB2312"/>
                <w:color w:val="333333"/>
                <w:sz w:val="24"/>
                <w:szCs w:val="24"/>
                <w:shd w:val="clear" w:color="auto" w:fill="FFFFFF"/>
                <w:lang w:eastAsia="zh-CN"/>
              </w:rPr>
              <w:t>海南省平山医院综合统计查询</w:t>
            </w:r>
            <w:r>
              <w:rPr>
                <w:rFonts w:hint="eastAsia" w:ascii="仿宋_GB2312" w:hAnsi="仿宋_GB2312" w:eastAsia="仿宋_GB2312" w:cs="仿宋_GB2312"/>
                <w:color w:val="333333"/>
                <w:sz w:val="24"/>
                <w:szCs w:val="24"/>
                <w:shd w:val="clear" w:color="auto" w:fill="FFFFFF"/>
                <w:lang w:val="en-US" w:eastAsia="zh-CN"/>
              </w:rPr>
              <w:t>及决策分析平台</w:t>
            </w:r>
          </w:p>
        </w:tc>
        <w:tc>
          <w:tcPr>
            <w:tcW w:w="1734" w:type="pct"/>
            <w:shd w:val="clear" w:color="auto" w:fill="auto"/>
            <w:vAlign w:val="center"/>
          </w:tcPr>
          <w:p>
            <w:pPr>
              <w:widowControl/>
              <w:spacing w:line="240" w:lineRule="auto"/>
              <w:jc w:val="center"/>
              <w:rPr>
                <w:rFonts w:hint="eastAsia" w:ascii="仿宋_GB2312" w:hAnsi="仿宋_GB2312" w:eastAsia="仿宋_GB2312" w:cs="仿宋_GB2312"/>
                <w:color w:val="333333"/>
                <w:sz w:val="24"/>
                <w:szCs w:val="24"/>
                <w:shd w:val="clear" w:color="auto" w:fill="FFFFFF"/>
              </w:rPr>
            </w:pPr>
            <w:r>
              <w:rPr>
                <w:rFonts w:hint="eastAsia" w:ascii="仿宋_GB2312" w:hAnsi="仿宋_GB2312" w:eastAsia="仿宋_GB2312" w:cs="仿宋_GB2312"/>
                <w:color w:val="333333"/>
                <w:sz w:val="24"/>
                <w:szCs w:val="24"/>
                <w:shd w:val="clear" w:color="auto" w:fill="FFFFFF"/>
                <w:lang w:val="en-US" w:eastAsia="zh-CN"/>
              </w:rPr>
              <w:t>拟定二级（S2A2G2）</w:t>
            </w:r>
          </w:p>
        </w:tc>
      </w:tr>
    </w:tbl>
    <w:p>
      <w:pPr>
        <w:pStyle w:val="2"/>
        <w:numPr>
          <w:ilvl w:val="0"/>
          <w:numId w:val="1"/>
        </w:numPr>
        <w:ind w:left="0" w:leftChars="0" w:firstLine="240" w:firstLineChars="100"/>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服务内容：</w:t>
      </w:r>
    </w:p>
    <w:tbl>
      <w:tblPr>
        <w:tblStyle w:val="7"/>
        <w:tblW w:w="63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57"/>
        <w:gridCol w:w="5756"/>
        <w:gridCol w:w="1807"/>
        <w:gridCol w:w="1126"/>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tcBorders>
              <w:bottom w:val="single" w:color="auto" w:sz="4" w:space="0"/>
            </w:tcBorders>
            <w:shd w:val="clear" w:color="auto" w:fill="D9D9D9"/>
            <w:vAlign w:val="center"/>
          </w:tcPr>
          <w:p>
            <w:pPr>
              <w:spacing w:line="240" w:lineRule="auto"/>
              <w:jc w:val="center"/>
              <w:rPr>
                <w:rFonts w:ascii="宋体" w:hAnsi="宋体" w:cs="宋体"/>
                <w:b/>
                <w:color w:val="000000"/>
                <w:szCs w:val="24"/>
              </w:rPr>
            </w:pPr>
            <w:r>
              <w:rPr>
                <w:rFonts w:hint="eastAsia" w:ascii="宋体" w:hAnsi="宋体" w:cs="宋体"/>
                <w:b/>
                <w:color w:val="000000"/>
                <w:szCs w:val="24"/>
              </w:rPr>
              <w:t>序号</w:t>
            </w:r>
          </w:p>
        </w:tc>
        <w:tc>
          <w:tcPr>
            <w:tcW w:w="492" w:type="pct"/>
            <w:tcBorders>
              <w:bottom w:val="single" w:color="auto" w:sz="4" w:space="0"/>
            </w:tcBorders>
            <w:shd w:val="clear" w:color="auto" w:fill="D9D9D9"/>
            <w:vAlign w:val="center"/>
          </w:tcPr>
          <w:p>
            <w:pPr>
              <w:spacing w:line="240" w:lineRule="auto"/>
              <w:jc w:val="center"/>
              <w:rPr>
                <w:rFonts w:ascii="宋体" w:hAnsi="宋体" w:cs="宋体"/>
                <w:b/>
                <w:color w:val="000000"/>
                <w:szCs w:val="24"/>
              </w:rPr>
            </w:pPr>
            <w:r>
              <w:rPr>
                <w:rFonts w:hint="eastAsia" w:ascii="宋体" w:hAnsi="宋体" w:cs="宋体"/>
                <w:b/>
                <w:color w:val="000000"/>
                <w:szCs w:val="24"/>
              </w:rPr>
              <w:t>服务名称</w:t>
            </w:r>
          </w:p>
        </w:tc>
        <w:tc>
          <w:tcPr>
            <w:tcW w:w="2449" w:type="pct"/>
            <w:tcBorders>
              <w:bottom w:val="single" w:color="auto" w:sz="4" w:space="0"/>
            </w:tcBorders>
            <w:shd w:val="clear" w:color="auto" w:fill="D9D9D9"/>
            <w:vAlign w:val="center"/>
          </w:tcPr>
          <w:p>
            <w:pPr>
              <w:spacing w:line="240" w:lineRule="auto"/>
              <w:jc w:val="center"/>
              <w:rPr>
                <w:rFonts w:ascii="宋体" w:hAnsi="宋体" w:cs="宋体"/>
                <w:b/>
                <w:color w:val="000000"/>
                <w:szCs w:val="24"/>
              </w:rPr>
            </w:pPr>
            <w:r>
              <w:rPr>
                <w:rFonts w:hint="eastAsia" w:ascii="宋体" w:hAnsi="宋体" w:cs="宋体"/>
                <w:b/>
                <w:color w:val="000000"/>
                <w:szCs w:val="24"/>
              </w:rPr>
              <w:t>服务内容</w:t>
            </w:r>
          </w:p>
        </w:tc>
        <w:tc>
          <w:tcPr>
            <w:tcW w:w="769" w:type="pct"/>
            <w:tcBorders>
              <w:bottom w:val="single" w:color="auto" w:sz="4" w:space="0"/>
            </w:tcBorders>
            <w:shd w:val="clear" w:color="auto" w:fill="D9D9D9"/>
            <w:vAlign w:val="center"/>
          </w:tcPr>
          <w:p>
            <w:pPr>
              <w:spacing w:line="240" w:lineRule="auto"/>
              <w:jc w:val="center"/>
              <w:rPr>
                <w:rFonts w:ascii="宋体" w:hAnsi="宋体" w:cs="宋体"/>
                <w:b/>
                <w:color w:val="000000"/>
                <w:szCs w:val="24"/>
              </w:rPr>
            </w:pPr>
            <w:r>
              <w:rPr>
                <w:rFonts w:hint="eastAsia" w:ascii="宋体" w:hAnsi="宋体" w:cs="宋体"/>
                <w:b/>
                <w:color w:val="000000"/>
                <w:szCs w:val="24"/>
              </w:rPr>
              <w:t>服务对象</w:t>
            </w:r>
          </w:p>
        </w:tc>
        <w:tc>
          <w:tcPr>
            <w:tcW w:w="479" w:type="pct"/>
            <w:tcBorders>
              <w:bottom w:val="single" w:color="auto" w:sz="4" w:space="0"/>
            </w:tcBorders>
            <w:shd w:val="clear" w:color="auto" w:fill="D9D9D9"/>
            <w:vAlign w:val="center"/>
          </w:tcPr>
          <w:p>
            <w:pPr>
              <w:spacing w:line="240" w:lineRule="auto"/>
              <w:jc w:val="center"/>
              <w:rPr>
                <w:rFonts w:ascii="宋体" w:hAnsi="宋体" w:cs="宋体"/>
                <w:b/>
                <w:color w:val="000000"/>
                <w:szCs w:val="24"/>
              </w:rPr>
            </w:pPr>
            <w:r>
              <w:rPr>
                <w:rFonts w:hint="eastAsia" w:ascii="宋体" w:hAnsi="宋体" w:cs="宋体"/>
                <w:b/>
                <w:color w:val="000000"/>
                <w:szCs w:val="24"/>
              </w:rPr>
              <w:t>主要成果文档</w:t>
            </w:r>
          </w:p>
        </w:tc>
        <w:tc>
          <w:tcPr>
            <w:tcW w:w="503" w:type="pct"/>
            <w:tcBorders>
              <w:bottom w:val="single" w:color="auto" w:sz="4" w:space="0"/>
            </w:tcBorders>
            <w:shd w:val="clear" w:color="auto" w:fill="D9D9D9"/>
            <w:vAlign w:val="center"/>
          </w:tcPr>
          <w:p>
            <w:pPr>
              <w:spacing w:line="240" w:lineRule="auto"/>
              <w:jc w:val="center"/>
              <w:rPr>
                <w:rFonts w:hint="default" w:ascii="宋体" w:hAnsi="宋体" w:cs="宋体" w:eastAsiaTheme="minorEastAsia"/>
                <w:b/>
                <w:color w:val="000000"/>
                <w:szCs w:val="24"/>
                <w:lang w:val="en-US" w:eastAsia="zh-CN"/>
              </w:rPr>
            </w:pPr>
            <w:r>
              <w:rPr>
                <w:rFonts w:hint="eastAsia" w:ascii="宋体" w:hAnsi="宋体" w:cs="宋体"/>
                <w:b/>
                <w:color w:val="000000"/>
                <w:szCs w:val="24"/>
              </w:rPr>
              <w:t>服务</w:t>
            </w:r>
            <w:r>
              <w:rPr>
                <w:rFonts w:hint="eastAsia" w:ascii="宋体" w:hAnsi="宋体" w:cs="宋体"/>
                <w:b/>
                <w:color w:val="000000"/>
                <w:szCs w:val="24"/>
                <w:lang w:val="en-US" w:eastAsia="zh-CN"/>
              </w:rPr>
              <w:t>频率及方式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tcBorders>
              <w:bottom w:val="single" w:color="auto" w:sz="4" w:space="0"/>
            </w:tcBorders>
            <w:shd w:val="clear" w:color="auto" w:fill="FFFFFF" w:themeFill="background1"/>
            <w:vAlign w:val="center"/>
          </w:tcPr>
          <w:p>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492" w:type="pct"/>
            <w:tcBorders>
              <w:bottom w:val="single" w:color="auto" w:sz="4" w:space="0"/>
            </w:tcBorders>
            <w:shd w:val="clear" w:color="auto" w:fill="FFFFFF" w:themeFill="background1"/>
            <w:vAlign w:val="center"/>
          </w:tcPr>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网络安全等级保护测评服务</w:t>
            </w:r>
          </w:p>
        </w:tc>
        <w:tc>
          <w:tcPr>
            <w:tcW w:w="2449" w:type="pct"/>
            <w:tcBorders>
              <w:bottom w:val="single" w:color="auto" w:sz="4" w:space="0"/>
            </w:tcBorders>
            <w:shd w:val="clear" w:color="auto" w:fill="FFFFFF" w:themeFill="background1"/>
            <w:vAlign w:val="center"/>
          </w:tcPr>
          <w:p>
            <w:pPr>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1.依据《信息安全技术 网络安全等级保护基本要求》（GB/T 22239-2019）、《信息安全技术 网络安全等级保护测评要求》（GB/T28448-2019）、《信息安全技术 网络安全等级保护测评过程指南》（GB/T 28449-2018）</w:t>
            </w:r>
            <w:r>
              <w:rPr>
                <w:rFonts w:hint="eastAsia" w:ascii="仿宋_GB2312" w:hAnsi="仿宋_GB2312" w:eastAsia="仿宋_GB2312" w:cs="仿宋_GB2312"/>
                <w:color w:val="333333"/>
                <w:sz w:val="24"/>
                <w:szCs w:val="24"/>
                <w:shd w:val="clear" w:color="auto" w:fill="FFFFFF"/>
                <w:lang w:val="en-US" w:eastAsia="zh-CN"/>
              </w:rPr>
              <w:t>二级（S2A2G2）</w:t>
            </w:r>
            <w:r>
              <w:rPr>
                <w:rFonts w:hint="eastAsia" w:ascii="仿宋_GB2312" w:hAnsi="仿宋_GB2312" w:eastAsia="仿宋_GB2312" w:cs="仿宋_GB2312"/>
                <w:color w:val="000000"/>
                <w:sz w:val="24"/>
                <w:szCs w:val="24"/>
              </w:rPr>
              <w:t>等标准规范，对项目范围内等级保护对象的安全保护能力进行检测评估；</w:t>
            </w:r>
          </w:p>
          <w:p>
            <w:pPr>
              <w:spacing w:line="240" w:lineRule="auto"/>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2.测评内容包括安全物理环境、安全通信网络、安全区域边界、安全计算环境、安全管理中心、安全管理制度、安全管理机构、安全管理人员、安全建设管理、安全运维管理十个层面；</w:t>
            </w:r>
          </w:p>
          <w:p>
            <w:pPr>
              <w:spacing w:line="240" w:lineRule="auto"/>
              <w:jc w:val="both"/>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3.等级测评完成后，出具《网络安全等级保护等级测评报告》，针对测评中发现的安全问题，提出整改建议。</w:t>
            </w:r>
          </w:p>
        </w:tc>
        <w:tc>
          <w:tcPr>
            <w:tcW w:w="769" w:type="pct"/>
            <w:tcBorders>
              <w:bottom w:val="single" w:color="auto" w:sz="4" w:space="0"/>
            </w:tcBorders>
            <w:shd w:val="clear" w:color="auto" w:fill="FFFFFF" w:themeFill="background1"/>
            <w:vAlign w:val="center"/>
          </w:tcPr>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海南省平山医院 HIS 信息管理系统(第二级S2A2G2)、海南省平山医院综合统计查询及决策分析平台(第二级S2A2G2)、海南省平山医院官方网站（第二级S2A2G2）</w:t>
            </w:r>
          </w:p>
        </w:tc>
        <w:tc>
          <w:tcPr>
            <w:tcW w:w="479" w:type="pct"/>
            <w:tcBorders>
              <w:bottom w:val="single" w:color="auto" w:sz="4" w:space="0"/>
            </w:tcBorders>
            <w:shd w:val="clear" w:color="auto" w:fill="FFFFFF" w:themeFill="background1"/>
            <w:vAlign w:val="center"/>
          </w:tcPr>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《网络安全等级保护等级测评报告》</w:t>
            </w:r>
          </w:p>
        </w:tc>
        <w:tc>
          <w:tcPr>
            <w:tcW w:w="503" w:type="pct"/>
            <w:tcBorders>
              <w:bottom w:val="single" w:color="auto" w:sz="4" w:space="0"/>
            </w:tcBorders>
            <w:shd w:val="clear" w:color="auto" w:fill="FFFFFF" w:themeFill="background1"/>
            <w:vAlign w:val="center"/>
          </w:tcPr>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一次性</w:t>
            </w:r>
          </w:p>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现场服务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49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网络安全加固服务</w:t>
            </w:r>
          </w:p>
        </w:tc>
        <w:tc>
          <w:tcPr>
            <w:tcW w:w="244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依据《信息安全技术 网络安全等级保护基本要求》(GB/T22239-2019)、《信息安全技术 网络安全等级保护安全设计技术要求》(GB/T 25070-2019)等标准规范，针对等级测评中发现的问题，并充分结合实际情况编制《网络安全加固实施方案》，经评估后实施安全加固，主要服务内容包括：网络与安全设备基线配置安全加固、操作系统基线配置安全加固、数据库系统基线配置安全加固、中间件基线配置安全加固、安全漏洞加固、网络安全边界</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网络架构及</w:t>
            </w:r>
            <w:r>
              <w:rPr>
                <w:rFonts w:hint="eastAsia" w:ascii="仿宋_GB2312" w:hAnsi="仿宋_GB2312" w:eastAsia="仿宋_GB2312" w:cs="仿宋_GB2312"/>
                <w:color w:val="000000"/>
                <w:sz w:val="24"/>
                <w:szCs w:val="24"/>
              </w:rPr>
              <w:t>安全策略优化</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lang w:val="en-US" w:eastAsia="zh-CN"/>
              </w:rPr>
              <w:t>管理制度完善</w:t>
            </w:r>
            <w:r>
              <w:rPr>
                <w:rFonts w:hint="eastAsia" w:ascii="仿宋_GB2312" w:hAnsi="仿宋_GB2312" w:eastAsia="仿宋_GB2312" w:cs="仿宋_GB2312"/>
                <w:color w:val="000000"/>
                <w:sz w:val="24"/>
                <w:szCs w:val="24"/>
              </w:rPr>
              <w:t>等。</w:t>
            </w:r>
          </w:p>
        </w:tc>
        <w:tc>
          <w:tcPr>
            <w:tcW w:w="76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海南省平山医院 HIS 信息管理系统(第二级S2A2G2)、海南省平山医院综合统计查询及决策分析平台(第二级S2A2G2)、海南省平山医院官方网站（第二级S2A2G2）</w:t>
            </w: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《网络安全加固报告》</w:t>
            </w:r>
          </w:p>
        </w:tc>
        <w:tc>
          <w:tcPr>
            <w:tcW w:w="503"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一次性</w:t>
            </w:r>
          </w:p>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现场服务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9" w:hRule="atLeast"/>
          <w:jc w:val="center"/>
        </w:trPr>
        <w:tc>
          <w:tcPr>
            <w:tcW w:w="30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49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网络安全应急演练服务</w:t>
            </w:r>
          </w:p>
        </w:tc>
        <w:tc>
          <w:tcPr>
            <w:tcW w:w="244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依据《中华人民共和国网络安全法》《国家网络安全事件应急预案》《信息安全技术网络安全等级保护基本要求》(GB/T 22239-2019)、《信息安全技术 网络安全事件应急演练指南》(GB/T 38645-2020)等有关法律法规、政策文件和标准规范对网络安全事件“应急预案”、“应急演练”的相关要求，结合信息系统实际情况，编制《网络安全事件应急预案》，规范与指导单位开展演练工作，建立健全网络安全事件应急工作机制</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服务包括三项内容：网络安全事件应急预案编制、网络安全事件预防与应急技巧培训、网络安全事件应急演练实施。</w:t>
            </w:r>
          </w:p>
        </w:tc>
        <w:tc>
          <w:tcPr>
            <w:tcW w:w="76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海南省平山医院</w:t>
            </w: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《网络安全事件应急预案》</w:t>
            </w:r>
          </w:p>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《网络安全应急演练总结报告》</w:t>
            </w:r>
          </w:p>
        </w:tc>
        <w:tc>
          <w:tcPr>
            <w:tcW w:w="503"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两年期每年一次</w:t>
            </w:r>
          </w:p>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现场服务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49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网络安全巡检服务</w:t>
            </w:r>
          </w:p>
        </w:tc>
        <w:tc>
          <w:tcPr>
            <w:tcW w:w="244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按照网络安全等级保护制度的相关要求，结合实际安全需求，通过开展信息系统的常态安全巡检服务，通过对检查结果的分析、汇总形成安全巡检报告，及时发现存在的安全问题和薄弱环节，分析面临的安全威胁和风险，并对发现的安全隐患提供改善建议，协助指导落实防范对策和改进措施。</w:t>
            </w:r>
          </w:p>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2.服务内容包括：建立安全巡检台账、物理机房安全巡检、网络边界安全巡检、关键安全设备巡检、操作系统安全巡检、数据库系统安全巡检、中间件安全巡检、数据备份与恢复措施巡检、工具扫描与技术检测及安全管理落实情况巡检十个方面安全巡检项。</w:t>
            </w:r>
          </w:p>
        </w:tc>
        <w:tc>
          <w:tcPr>
            <w:tcW w:w="76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海南省平山医院</w:t>
            </w: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rPr>
              <w:t>《网络安全巡检报告》</w:t>
            </w:r>
          </w:p>
        </w:tc>
        <w:tc>
          <w:tcPr>
            <w:tcW w:w="503"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两年期四次</w:t>
            </w:r>
            <w:r>
              <w:rPr>
                <w:rFonts w:hint="eastAsia" w:ascii="仿宋_GB2312" w:hAnsi="仿宋_GB2312" w:eastAsia="仿宋_GB2312" w:cs="仿宋_GB2312"/>
                <w:color w:val="000000"/>
                <w:sz w:val="24"/>
                <w:szCs w:val="24"/>
              </w:rPr>
              <w:t>现场服务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6"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5</w:t>
            </w:r>
          </w:p>
        </w:tc>
        <w:tc>
          <w:tcPr>
            <w:tcW w:w="492"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网络安全培训及咨询服务</w:t>
            </w:r>
          </w:p>
        </w:tc>
        <w:tc>
          <w:tcPr>
            <w:tcW w:w="244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两年内每年一次针对全院的网络安全意识培训及两年期网络安全咨询服务</w:t>
            </w:r>
          </w:p>
        </w:tc>
        <w:tc>
          <w:tcPr>
            <w:tcW w:w="76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海南省平山医院</w:t>
            </w:r>
          </w:p>
        </w:tc>
        <w:tc>
          <w:tcPr>
            <w:tcW w:w="479"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w:t>
            </w:r>
          </w:p>
        </w:tc>
        <w:tc>
          <w:tcPr>
            <w:tcW w:w="503" w:type="pct"/>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jc w:val="left"/>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两年期现场或远程</w:t>
            </w:r>
          </w:p>
        </w:tc>
      </w:tr>
    </w:tbl>
    <w:p>
      <w:pPr>
        <w:pStyle w:val="2"/>
        <w:numPr>
          <w:ilvl w:val="0"/>
          <w:numId w:val="1"/>
        </w:numPr>
        <w:ind w:left="0" w:leftChars="0" w:firstLine="240" w:firstLineChars="100"/>
        <w:rPr>
          <w:rFonts w:hint="default"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项目实施要求：</w:t>
      </w:r>
    </w:p>
    <w:p>
      <w:pPr>
        <w:spacing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项目实施过程中，</w:t>
      </w:r>
      <w:r>
        <w:rPr>
          <w:rFonts w:hint="eastAsia" w:ascii="仿宋_GB2312" w:hAnsi="仿宋_GB2312" w:eastAsia="仿宋_GB2312" w:cs="仿宋_GB2312"/>
          <w:color w:val="000000"/>
          <w:sz w:val="24"/>
          <w:szCs w:val="24"/>
          <w:lang w:val="en-US" w:eastAsia="zh-CN"/>
        </w:rPr>
        <w:t>供应商</w:t>
      </w:r>
      <w:r>
        <w:rPr>
          <w:rFonts w:hint="eastAsia" w:ascii="仿宋_GB2312" w:hAnsi="仿宋_GB2312" w:eastAsia="仿宋_GB2312" w:cs="仿宋_GB2312"/>
          <w:color w:val="000000"/>
          <w:sz w:val="24"/>
          <w:szCs w:val="24"/>
        </w:rPr>
        <w:t>应遵循国家标准、行业标准。</w:t>
      </w:r>
    </w:p>
    <w:p>
      <w:pPr>
        <w:spacing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1、项目实施要求</w:t>
      </w:r>
    </w:p>
    <w:p>
      <w:pPr>
        <w:spacing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（1）提供的项目实施组织架构； </w:t>
      </w:r>
    </w:p>
    <w:p>
      <w:pPr>
        <w:spacing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（2）提供详细的项目实施方案和计划进度说明书；</w:t>
      </w:r>
    </w:p>
    <w:p>
      <w:pPr>
        <w:spacing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（3）提供详细、全面的人员培训计划和实施方案；</w:t>
      </w:r>
    </w:p>
    <w:p>
      <w:pPr>
        <w:spacing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（4）项目实施完成后提供可靠的后期维护工作；中标</w:t>
      </w:r>
      <w:r>
        <w:rPr>
          <w:rFonts w:hint="eastAsia" w:ascii="仿宋_GB2312" w:hAnsi="仿宋_GB2312" w:eastAsia="仿宋_GB2312" w:cs="仿宋_GB2312"/>
          <w:color w:val="000000"/>
          <w:sz w:val="24"/>
          <w:szCs w:val="24"/>
          <w:lang w:val="en-US" w:eastAsia="zh-CN"/>
        </w:rPr>
        <w:t>供应商</w:t>
      </w:r>
      <w:r>
        <w:rPr>
          <w:rFonts w:hint="eastAsia" w:ascii="仿宋_GB2312" w:hAnsi="仿宋_GB2312" w:eastAsia="仿宋_GB2312" w:cs="仿宋_GB2312"/>
          <w:color w:val="000000"/>
          <w:sz w:val="24"/>
          <w:szCs w:val="24"/>
        </w:rPr>
        <w:t>在项目期间每周至少来</w:t>
      </w:r>
      <w:r>
        <w:rPr>
          <w:rFonts w:hint="eastAsia" w:ascii="仿宋_GB2312" w:hAnsi="仿宋_GB2312" w:eastAsia="仿宋_GB2312" w:cs="仿宋_GB2312"/>
          <w:color w:val="000000"/>
          <w:sz w:val="24"/>
          <w:szCs w:val="24"/>
          <w:lang w:eastAsia="zh-CN"/>
        </w:rPr>
        <w:t>海南省平山医院</w:t>
      </w:r>
      <w:r>
        <w:rPr>
          <w:rFonts w:hint="eastAsia" w:ascii="仿宋_GB2312" w:hAnsi="仿宋_GB2312" w:eastAsia="仿宋_GB2312" w:cs="仿宋_GB2312"/>
          <w:color w:val="000000"/>
          <w:sz w:val="24"/>
          <w:szCs w:val="24"/>
        </w:rPr>
        <w:t>现场1次，电话要保持7*24小时通畅，如遇到特殊情况需提前通知</w:t>
      </w:r>
      <w:r>
        <w:rPr>
          <w:rFonts w:hint="eastAsia" w:ascii="仿宋_GB2312" w:hAnsi="仿宋_GB2312" w:eastAsia="仿宋_GB2312" w:cs="仿宋_GB2312"/>
          <w:color w:val="000000"/>
          <w:sz w:val="24"/>
          <w:szCs w:val="24"/>
          <w:lang w:eastAsia="zh-CN"/>
        </w:rPr>
        <w:t>海南省平山医院</w:t>
      </w:r>
      <w:r>
        <w:rPr>
          <w:rFonts w:hint="eastAsia" w:ascii="仿宋_GB2312" w:hAnsi="仿宋_GB2312" w:eastAsia="仿宋_GB2312" w:cs="仿宋_GB2312"/>
          <w:color w:val="000000"/>
          <w:sz w:val="24"/>
          <w:szCs w:val="24"/>
        </w:rPr>
        <w:t>并取得</w:t>
      </w:r>
      <w:r>
        <w:rPr>
          <w:rFonts w:hint="eastAsia" w:ascii="仿宋_GB2312" w:hAnsi="仿宋_GB2312" w:eastAsia="仿宋_GB2312" w:cs="仿宋_GB2312"/>
          <w:color w:val="000000"/>
          <w:sz w:val="24"/>
          <w:szCs w:val="24"/>
          <w:lang w:eastAsia="zh-CN"/>
        </w:rPr>
        <w:t>海南省平山医院</w:t>
      </w:r>
      <w:r>
        <w:rPr>
          <w:rFonts w:hint="eastAsia" w:ascii="仿宋_GB2312" w:hAnsi="仿宋_GB2312" w:eastAsia="仿宋_GB2312" w:cs="仿宋_GB2312"/>
          <w:color w:val="000000"/>
          <w:sz w:val="24"/>
          <w:szCs w:val="24"/>
        </w:rPr>
        <w:t>的同意；</w:t>
      </w:r>
    </w:p>
    <w:p>
      <w:pPr>
        <w:spacing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（5）对于</w:t>
      </w:r>
      <w:r>
        <w:rPr>
          <w:rFonts w:hint="eastAsia" w:ascii="仿宋_GB2312" w:hAnsi="仿宋_GB2312" w:eastAsia="仿宋_GB2312" w:cs="仿宋_GB2312"/>
          <w:color w:val="000000"/>
          <w:sz w:val="24"/>
          <w:szCs w:val="24"/>
          <w:lang w:eastAsia="zh-CN"/>
        </w:rPr>
        <w:t>海南省平山医院</w:t>
      </w:r>
      <w:r>
        <w:rPr>
          <w:rFonts w:hint="eastAsia" w:ascii="仿宋_GB2312" w:hAnsi="仿宋_GB2312" w:eastAsia="仿宋_GB2312" w:cs="仿宋_GB2312"/>
          <w:color w:val="000000"/>
          <w:sz w:val="24"/>
          <w:szCs w:val="24"/>
        </w:rPr>
        <w:t>的电话咨询和常规服务请求在30分钟内予以答复，紧急服务请求在4小时内到达</w:t>
      </w:r>
      <w:r>
        <w:rPr>
          <w:rFonts w:hint="eastAsia" w:ascii="仿宋_GB2312" w:hAnsi="仿宋_GB2312" w:eastAsia="仿宋_GB2312" w:cs="仿宋_GB2312"/>
          <w:color w:val="000000"/>
          <w:sz w:val="24"/>
          <w:szCs w:val="24"/>
          <w:lang w:eastAsia="zh-CN"/>
        </w:rPr>
        <w:t>海南省平山医院</w:t>
      </w:r>
      <w:r>
        <w:rPr>
          <w:rFonts w:hint="eastAsia" w:ascii="仿宋_GB2312" w:hAnsi="仿宋_GB2312" w:eastAsia="仿宋_GB2312" w:cs="仿宋_GB2312"/>
          <w:color w:val="000000"/>
          <w:sz w:val="24"/>
          <w:szCs w:val="24"/>
        </w:rPr>
        <w:t>现场；</w:t>
      </w:r>
      <w:bookmarkStart w:id="2" w:name="_GoBack"/>
      <w:bookmarkEnd w:id="2"/>
    </w:p>
    <w:p>
      <w:pPr>
        <w:spacing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（6）严格按照双方确定的计划进度保质保量完成工作；</w:t>
      </w:r>
    </w:p>
    <w:p>
      <w:pPr>
        <w:spacing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（7）规范项目实施过程中的文档管理；</w:t>
      </w:r>
    </w:p>
    <w:p>
      <w:pPr>
        <w:spacing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（8）项目实施中要引入风险管理、质量管理、成本管理。</w:t>
      </w:r>
    </w:p>
    <w:p>
      <w:pPr>
        <w:spacing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2、实施团队要求</w:t>
      </w:r>
    </w:p>
    <w:p>
      <w:pPr>
        <w:spacing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需具有较强的本地化服务能力，参与本项目的实施人员不少6人，且必须具备信息安全等级保护测评师资质证书，项目实施过程中均应持测评师证书入场开展工作；（提供承诺函和拟投入人员名单证明复印件，加盖公章）；供应商在</w:t>
      </w:r>
      <w:r>
        <w:rPr>
          <w:rFonts w:hint="eastAsia" w:ascii="仿宋_GB2312" w:hAnsi="仿宋_GB2312" w:eastAsia="仿宋_GB2312" w:cs="仿宋_GB2312"/>
          <w:color w:val="000000"/>
          <w:sz w:val="24"/>
          <w:szCs w:val="24"/>
        </w:rPr>
        <w:t>投标文件中应提供完整的实施团队名单及职责分工，所有人员必须属于投标单位在册员工（以</w:t>
      </w:r>
      <w:r>
        <w:rPr>
          <w:rFonts w:hint="eastAsia" w:ascii="仿宋_GB2312" w:hAnsi="仿宋_GB2312" w:eastAsia="仿宋_GB2312" w:cs="仿宋_GB2312"/>
          <w:color w:val="000000"/>
          <w:sz w:val="24"/>
          <w:szCs w:val="24"/>
          <w:lang w:val="en-US" w:eastAsia="zh-CN"/>
        </w:rPr>
        <w:t>2024年任意连续三个月</w:t>
      </w:r>
      <w:r>
        <w:rPr>
          <w:rFonts w:hint="eastAsia" w:ascii="仿宋_GB2312" w:hAnsi="仿宋_GB2312" w:eastAsia="仿宋_GB2312" w:cs="仿宋_GB2312"/>
          <w:color w:val="000000"/>
          <w:sz w:val="24"/>
          <w:szCs w:val="24"/>
        </w:rPr>
        <w:t>社保缴纳</w:t>
      </w:r>
      <w:r>
        <w:rPr>
          <w:rFonts w:hint="eastAsia" w:ascii="仿宋_GB2312" w:hAnsi="仿宋_GB2312" w:eastAsia="仿宋_GB2312" w:cs="仿宋_GB2312"/>
          <w:color w:val="000000"/>
          <w:sz w:val="24"/>
          <w:szCs w:val="24"/>
          <w:lang w:val="en-US" w:eastAsia="zh-CN"/>
        </w:rPr>
        <w:t>花名册</w:t>
      </w:r>
      <w:r>
        <w:rPr>
          <w:rFonts w:hint="eastAsia" w:ascii="仿宋_GB2312" w:hAnsi="仿宋_GB2312" w:eastAsia="仿宋_GB2312" w:cs="仿宋_GB2312"/>
          <w:color w:val="000000"/>
          <w:sz w:val="24"/>
          <w:szCs w:val="24"/>
        </w:rPr>
        <w:t>为认定依据）。实施团队名单中所列人员的社保缴纳证明复印件需在投标文件中提供，并加盖公章。</w:t>
      </w:r>
    </w:p>
    <w:p>
      <w:pPr>
        <w:spacing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3、项目验收</w:t>
      </w:r>
    </w:p>
    <w:p>
      <w:pPr>
        <w:spacing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供应商</w:t>
      </w:r>
      <w:r>
        <w:rPr>
          <w:rFonts w:hint="eastAsia" w:ascii="仿宋_GB2312" w:hAnsi="仿宋_GB2312" w:eastAsia="仿宋_GB2312" w:cs="仿宋_GB2312"/>
          <w:color w:val="000000"/>
          <w:sz w:val="24"/>
          <w:szCs w:val="24"/>
        </w:rPr>
        <w:t>必须书面通知业主所完成的工作和准备进行验收的项目种类及验收开始时间，此通知书需经业主认定后方可执行。</w:t>
      </w:r>
      <w:bookmarkStart w:id="0" w:name="_Toc244418548"/>
    </w:p>
    <w:p>
      <w:pPr>
        <w:spacing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4、验收组织</w:t>
      </w:r>
      <w:bookmarkEnd w:id="0"/>
    </w:p>
    <w:p>
      <w:pPr>
        <w:spacing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成立由</w:t>
      </w:r>
      <w:r>
        <w:rPr>
          <w:rFonts w:hint="eastAsia" w:ascii="仿宋_GB2312" w:hAnsi="仿宋_GB2312" w:eastAsia="仿宋_GB2312" w:cs="仿宋_GB2312"/>
          <w:color w:val="000000"/>
          <w:sz w:val="24"/>
          <w:szCs w:val="24"/>
          <w:lang w:val="en-US" w:eastAsia="zh-CN"/>
        </w:rPr>
        <w:t>海南省平山医院</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中标</w:t>
      </w:r>
      <w:r>
        <w:rPr>
          <w:rFonts w:hint="eastAsia" w:ascii="仿宋_GB2312" w:hAnsi="仿宋_GB2312" w:eastAsia="仿宋_GB2312" w:cs="仿宋_GB2312"/>
          <w:color w:val="000000"/>
          <w:sz w:val="24"/>
          <w:szCs w:val="24"/>
          <w:lang w:eastAsia="zh-CN"/>
        </w:rPr>
        <w:t>供应商</w:t>
      </w:r>
      <w:r>
        <w:rPr>
          <w:rFonts w:hint="eastAsia" w:ascii="仿宋_GB2312" w:hAnsi="仿宋_GB2312" w:eastAsia="仿宋_GB2312" w:cs="仿宋_GB2312"/>
          <w:color w:val="000000"/>
          <w:sz w:val="24"/>
          <w:szCs w:val="24"/>
        </w:rPr>
        <w:t>以及其他有关人员组成的验收小组，负责对项目进行全面的验收。</w:t>
      </w:r>
      <w:bookmarkStart w:id="1" w:name="_Toc244418549"/>
    </w:p>
    <w:p>
      <w:pPr>
        <w:spacing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5、交付成果及验收标准</w:t>
      </w:r>
      <w:bookmarkEnd w:id="1"/>
    </w:p>
    <w:p>
      <w:pPr>
        <w:spacing w:line="240" w:lineRule="auto"/>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（1）完成了</w:t>
      </w:r>
      <w:r>
        <w:rPr>
          <w:rFonts w:hint="eastAsia" w:ascii="仿宋_GB2312" w:hAnsi="仿宋_GB2312" w:eastAsia="仿宋_GB2312" w:cs="仿宋_GB2312"/>
          <w:color w:val="000000"/>
          <w:sz w:val="24"/>
          <w:szCs w:val="24"/>
          <w:lang w:val="en-US" w:eastAsia="zh-CN"/>
        </w:rPr>
        <w:t>海南省平山医院3</w:t>
      </w:r>
      <w:r>
        <w:rPr>
          <w:rFonts w:hint="eastAsia" w:ascii="仿宋_GB2312" w:hAnsi="仿宋_GB2312" w:eastAsia="仿宋_GB2312" w:cs="仿宋_GB2312"/>
          <w:color w:val="000000"/>
          <w:sz w:val="24"/>
          <w:szCs w:val="24"/>
        </w:rPr>
        <w:t>个信息系统的等级测评工作并提交《网络安全等级保护等级测评报告》及《</w:t>
      </w:r>
      <w:r>
        <w:rPr>
          <w:rFonts w:hint="eastAsia" w:ascii="仿宋_GB2312" w:hAnsi="仿宋_GB2312" w:eastAsia="仿宋_GB2312" w:cs="仿宋_GB2312"/>
          <w:color w:val="000000"/>
          <w:sz w:val="24"/>
          <w:szCs w:val="24"/>
          <w:lang w:val="en-US" w:eastAsia="zh-CN"/>
        </w:rPr>
        <w:t>网络</w:t>
      </w:r>
      <w:r>
        <w:rPr>
          <w:rFonts w:hint="eastAsia" w:ascii="仿宋_GB2312" w:hAnsi="仿宋_GB2312" w:eastAsia="仿宋_GB2312" w:cs="仿宋_GB2312"/>
          <w:color w:val="000000"/>
          <w:sz w:val="24"/>
          <w:szCs w:val="24"/>
        </w:rPr>
        <w:t>安全建设</w:t>
      </w:r>
      <w:r>
        <w:rPr>
          <w:rFonts w:hint="eastAsia" w:ascii="仿宋_GB2312" w:hAnsi="仿宋_GB2312" w:eastAsia="仿宋_GB2312" w:cs="仿宋_GB2312"/>
          <w:color w:val="000000"/>
          <w:sz w:val="24"/>
          <w:szCs w:val="24"/>
          <w:lang w:val="en-US" w:eastAsia="zh-CN"/>
        </w:rPr>
        <w:t>整改方案》、《网络安全加固报告》、《网络安全应急预案》、《网络安全应急演练总结评估报告》；</w:t>
      </w:r>
    </w:p>
    <w:p>
      <w:pPr>
        <w:spacing w:line="240" w:lineRule="auto"/>
        <w:ind w:firstLine="480" w:firstLineChars="200"/>
        <w:jc w:val="left"/>
        <w:rPr>
          <w:rFonts w:hint="eastAsia" w:ascii="仿宋_GB2312" w:hAnsi="仿宋_GB2312" w:eastAsia="仿宋_GB2312" w:cs="仿宋_GB2312"/>
          <w:color w:val="000000"/>
          <w:sz w:val="24"/>
          <w:szCs w:val="24"/>
          <w:lang w:eastAsia="zh-CN"/>
        </w:rPr>
        <w:sectPr>
          <w:footerReference r:id="rId3" w:type="default"/>
          <w:pgSz w:w="11906" w:h="16838"/>
          <w:pgMar w:top="1418" w:right="1418" w:bottom="1418" w:left="1418" w:header="851" w:footer="419"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_GB2312" w:hAnsi="仿宋_GB2312" w:eastAsia="仿宋_GB2312" w:cs="仿宋_GB2312"/>
          <w:color w:val="000000"/>
          <w:sz w:val="24"/>
          <w:szCs w:val="24"/>
        </w:rPr>
        <w:t>（2）提交项目实施阶段中所有的过程文档</w:t>
      </w:r>
      <w:r>
        <w:rPr>
          <w:rFonts w:hint="eastAsia" w:ascii="仿宋_GB2312" w:hAnsi="仿宋_GB2312" w:eastAsia="仿宋_GB2312" w:cs="仿宋_GB2312"/>
          <w:color w:val="000000"/>
          <w:sz w:val="24"/>
          <w:szCs w:val="24"/>
          <w:lang w:eastAsia="zh-CN"/>
        </w:rPr>
        <w:t>。</w:t>
      </w:r>
    </w:p>
    <w:p>
      <w:pPr>
        <w:pStyle w:val="2"/>
        <w:numPr>
          <w:ilvl w:val="0"/>
          <w:numId w:val="0"/>
        </w:numPr>
        <w:rPr>
          <w:rFonts w:hint="default" w:ascii="黑体" w:hAnsi="黑体" w:eastAsia="黑体" w:cs="黑体"/>
          <w:color w:val="auto"/>
          <w:highlight w:val="none"/>
          <w:lang w:val="en-US" w:eastAsia="zh-CN"/>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宋?">
    <w:altName w:val="宋体"/>
    <w:panose1 w:val="00000000000000000000"/>
    <w:charset w:val="81"/>
    <w:family w:val="roman"/>
    <w:pitch w:val="default"/>
    <w:sig w:usb0="00000000" w:usb1="00000000" w:usb2="00000010" w:usb3="00000000" w:csb0="0008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- 25 -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7719D6"/>
    <w:multiLevelType w:val="singleLevel"/>
    <w:tmpl w:val="477719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ODc4ZDI2ZGRhNGM0MDk2ZGQ3Y2RhNTEyZTcyYWUifQ=="/>
  </w:docVars>
  <w:rsids>
    <w:rsidRoot w:val="7F7F34D8"/>
    <w:rsid w:val="17F273B9"/>
    <w:rsid w:val="1EDA3F12"/>
    <w:rsid w:val="7F7F34D8"/>
    <w:rsid w:val="7FDF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eastAsia="宋?"/>
    </w:rPr>
  </w:style>
  <w:style w:type="paragraph" w:styleId="3">
    <w:name w:val="Body Text Indent"/>
    <w:basedOn w:val="1"/>
    <w:next w:val="4"/>
    <w:qFormat/>
    <w:uiPriority w:val="0"/>
    <w:pPr>
      <w:spacing w:line="460" w:lineRule="exact"/>
      <w:ind w:firstLine="480" w:firstLineChars="200"/>
    </w:pPr>
    <w:rPr>
      <w:rFonts w:ascii="宋体" w:hAnsi="宋体" w:eastAsia="宋体" w:cs="Times New Roman"/>
      <w:sz w:val="24"/>
    </w:rPr>
  </w:style>
  <w:style w:type="paragraph" w:styleId="4">
    <w:name w:val="envelope return"/>
    <w:basedOn w:val="1"/>
    <w:qFormat/>
    <w:uiPriority w:val="0"/>
    <w:pPr>
      <w:snapToGrid w:val="0"/>
    </w:pPr>
    <w:rPr>
      <w:rFonts w:ascii="Arial" w:hAnsi="Arial"/>
    </w:rPr>
  </w:style>
  <w:style w:type="paragraph" w:styleId="5">
    <w:name w:val="footer"/>
    <w:basedOn w:val="1"/>
    <w:qFormat/>
    <w:uiPriority w:val="99"/>
    <w:pPr>
      <w:tabs>
        <w:tab w:val="center" w:pos="4153"/>
        <w:tab w:val="right" w:pos="8306"/>
      </w:tabs>
      <w:snapToGrid w:val="0"/>
    </w:pPr>
    <w:rPr>
      <w:kern w:val="0"/>
      <w:sz w:val="18"/>
      <w:szCs w:val="18"/>
    </w:rPr>
  </w:style>
  <w:style w:type="paragraph" w:styleId="6">
    <w:name w:val="Subtitle"/>
    <w:basedOn w:val="1"/>
    <w:next w:val="1"/>
    <w:qFormat/>
    <w:uiPriority w:val="11"/>
    <w:pPr>
      <w:spacing w:before="240" w:beforeLines="0" w:after="60" w:afterLines="0" w:line="312" w:lineRule="auto"/>
      <w:jc w:val="center"/>
      <w:outlineLvl w:val="1"/>
    </w:pPr>
    <w:rPr>
      <w:rFonts w:ascii="Cambria" w:hAnsi="Cambria"/>
      <w:b/>
      <w:bCs/>
      <w:kern w:val="28"/>
      <w:sz w:val="32"/>
      <w:szCs w:val="32"/>
    </w:rPr>
  </w:style>
  <w:style w:type="character" w:styleId="9">
    <w:name w:val="Strong"/>
    <w:basedOn w:val="8"/>
    <w:qFormat/>
    <w:uiPriority w:val="22"/>
    <w:rPr>
      <w:rFonts w:cs="Times New Roman"/>
      <w:b/>
    </w:rPr>
  </w:style>
  <w:style w:type="paragraph" w:customStyle="1" w:styleId="10">
    <w:name w:val="段标题1"/>
    <w:basedOn w:val="1"/>
    <w:autoRedefine/>
    <w:qFormat/>
    <w:uiPriority w:val="0"/>
    <w:pPr>
      <w:tabs>
        <w:tab w:val="left" w:pos="420"/>
        <w:tab w:val="left" w:pos="1080"/>
      </w:tabs>
      <w:adjustRightInd w:val="0"/>
      <w:snapToGrid w:val="0"/>
      <w:spacing w:line="480" w:lineRule="auto"/>
      <w:ind w:left="420" w:hanging="420"/>
      <w:textAlignment w:val="baseline"/>
    </w:pPr>
    <w:rPr>
      <w:szCs w:val="20"/>
    </w:rPr>
  </w:style>
  <w:style w:type="paragraph" w:customStyle="1" w:styleId="11">
    <w:name w:val="正文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2139</Words>
  <Characters>2300</Characters>
  <Lines>0</Lines>
  <Paragraphs>0</Paragraphs>
  <TotalTime>4</TotalTime>
  <ScaleCrop>false</ScaleCrop>
  <LinksUpToDate>false</LinksUpToDate>
  <CharactersWithSpaces>2318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2024-06-12T13:53:00Z</dcterms:created>
  <dc:creator>桃子</dc:creator>
  <cp:lastModifiedBy>桃子</cp:lastModifiedBy>
  <dcterms:modified xsi:type="dcterms:W3CDTF">2024-06-30T05:58:56Z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AE44C714A30D48F0BA8558314525A7B3_11</vt:lpwstr>
  </property>
</Properties>
</file>